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附件1</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2021年上半年中小学教师资格考试笔试</w:t>
      </w:r>
    </w:p>
    <w:p>
      <w:pPr>
        <w:shd w:val="solid" w:color="FFFFFF" w:fill="auto"/>
        <w:autoSpaceDN w:val="0"/>
        <w:spacing w:before="174" w:after="174" w:line="600" w:lineRule="exact"/>
        <w:jc w:val="center"/>
        <w:rPr>
          <w:rFonts w:hint="eastAsia" w:ascii="黑体" w:hAnsi="黑体" w:eastAsia="黑体" w:cs="仿宋_GB2312"/>
          <w:sz w:val="36"/>
          <w:szCs w:val="36"/>
          <w:shd w:val="clear" w:color="auto" w:fill="FFFFFF"/>
        </w:rPr>
      </w:pPr>
      <w:r>
        <w:rPr>
          <w:rFonts w:hint="eastAsia" w:ascii="黑体" w:hAnsi="黑体" w:eastAsia="黑体" w:cs="仿宋_GB2312"/>
          <w:sz w:val="36"/>
          <w:szCs w:val="36"/>
          <w:shd w:val="clear" w:color="auto" w:fill="FFFFFF"/>
        </w:rPr>
        <w:t>考试科目及日程安排</w:t>
      </w:r>
    </w:p>
    <w:p>
      <w:pPr>
        <w:shd w:val="solid" w:color="FFFFFF" w:fill="auto"/>
        <w:autoSpaceDN w:val="0"/>
        <w:spacing w:before="174" w:after="174" w:line="600" w:lineRule="exact"/>
        <w:jc w:val="center"/>
        <w:rPr>
          <w:rFonts w:hint="eastAsia" w:ascii="黑体" w:hAnsi="黑体" w:eastAsia="黑体" w:cs="仿宋_GB2312"/>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lang w:val="en-US" w:eastAsia="zh-CN"/>
              </w:rPr>
              <w:t>3</w:t>
            </w:r>
            <w:r>
              <w:rPr>
                <w:rFonts w:hint="eastAsia" w:ascii="仿宋" w:hAnsi="仿宋" w:eastAsia="仿宋" w:cs="仿宋_GB2312"/>
                <w:b/>
                <w:sz w:val="24"/>
                <w:szCs w:val="24"/>
                <w:shd w:val="clear" w:color="auto" w:fill="FFFFFF"/>
              </w:rPr>
              <w:t>月</w:t>
            </w:r>
            <w:r>
              <w:rPr>
                <w:rFonts w:hint="eastAsia" w:ascii="仿宋" w:hAnsi="仿宋" w:eastAsia="仿宋" w:cs="仿宋_GB2312"/>
                <w:b/>
                <w:sz w:val="24"/>
                <w:szCs w:val="24"/>
                <w:shd w:val="clear" w:color="auto" w:fill="FFFFFF"/>
                <w:lang w:val="en-US" w:eastAsia="zh-CN"/>
              </w:rPr>
              <w:t>13</w:t>
            </w:r>
            <w:r>
              <w:rPr>
                <w:rFonts w:hint="eastAsia" w:ascii="仿宋" w:hAnsi="仿宋" w:eastAsia="仿宋" w:cs="仿宋_GB2312"/>
                <w:b/>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sz w:val="24"/>
                <w:szCs w:val="24"/>
                <w:shd w:val="clear" w:color="auto" w:fill="FFFFFF"/>
              </w:rPr>
            </w:pPr>
            <w:r>
              <w:rPr>
                <w:rFonts w:hint="eastAsia" w:ascii="仿宋" w:hAnsi="仿宋" w:eastAsia="仿宋" w:cs="仿宋_GB2312"/>
                <w:b/>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24"/>
                <w:szCs w:val="24"/>
                <w:shd w:val="clear" w:color="auto" w:fill="FFFFFF"/>
              </w:rPr>
            </w:pPr>
            <w:r>
              <w:rPr>
                <w:rFonts w:hint="eastAsia" w:ascii="仿宋" w:hAnsi="仿宋" w:eastAsia="仿宋" w:cs="仿宋_GB2312"/>
                <w:bCs/>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r>
              <w:rPr>
                <w:rFonts w:hint="eastAsia" w:ascii="仿宋" w:hAnsi="仿宋" w:eastAsia="仿宋" w:cs="仿宋_GB2312"/>
                <w:bCs/>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sz w:val="32"/>
          <w:szCs w:val="32"/>
          <w:shd w:val="clear" w:color="auto" w:fill="FFFFFF"/>
        </w:rPr>
      </w:pPr>
      <w:r>
        <w:rPr>
          <w:rFonts w:hint="eastAsia" w:ascii="仿宋" w:hAnsi="仿宋" w:eastAsia="仿宋" w:cs="仿宋_GB2312"/>
          <w:b/>
          <w:sz w:val="32"/>
          <w:szCs w:val="32"/>
          <w:shd w:val="clear" w:color="auto" w:fill="FFFFFF"/>
        </w:rPr>
        <w:t>提示：</w:t>
      </w:r>
      <w:r>
        <w:rPr>
          <w:rFonts w:hint="eastAsia" w:ascii="仿宋" w:hAnsi="仿宋" w:eastAsia="仿宋" w:cs="仿宋_GB2312"/>
          <w:b w:val="0"/>
          <w:bCs/>
          <w:sz w:val="32"/>
          <w:szCs w:val="32"/>
          <w:shd w:val="clear" w:color="auto" w:fill="FFFFFF"/>
          <w:lang w:val="en-US" w:eastAsia="zh-CN"/>
        </w:rPr>
        <w:t>1.</w:t>
      </w:r>
      <w:r>
        <w:rPr>
          <w:rFonts w:hint="eastAsia" w:ascii="仿宋" w:hAnsi="仿宋" w:eastAsia="仿宋" w:cs="仿宋_GB2312"/>
          <w:bCs/>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0000FF"/>
          <w:sz w:val="32"/>
          <w:szCs w:val="32"/>
          <w:shd w:val="clear" w:color="auto" w:fill="FFFFFF"/>
        </w:rPr>
      </w:pPr>
      <w:r>
        <w:rPr>
          <w:rFonts w:hint="eastAsia" w:ascii="仿宋" w:hAnsi="仿宋" w:eastAsia="仿宋" w:cs="仿宋_GB2312"/>
          <w:bCs/>
          <w:color w:val="0000FF"/>
          <w:sz w:val="32"/>
          <w:szCs w:val="32"/>
          <w:shd w:val="clear" w:color="auto" w:fill="FFFFFF"/>
          <w:lang w:val="en-US" w:eastAsia="zh-CN"/>
        </w:rPr>
        <w:t>2.</w:t>
      </w:r>
      <w:r>
        <w:rPr>
          <w:rFonts w:hint="eastAsia" w:ascii="仿宋" w:hAnsi="仿宋" w:eastAsia="仿宋" w:cs="仿宋_GB2312"/>
          <w:bCs/>
          <w:color w:val="0000FF"/>
          <w:sz w:val="32"/>
          <w:szCs w:val="32"/>
          <w:shd w:val="clear" w:color="auto" w:fill="FFFFFF"/>
        </w:rPr>
        <w:t>报考中学“心理健康教育”、</w:t>
      </w:r>
      <w:r>
        <w:rPr>
          <w:rFonts w:hint="eastAsia" w:ascii="仿宋" w:hAnsi="仿宋" w:eastAsia="仿宋" w:cs="仿宋_GB2312"/>
          <w:bCs/>
          <w:color w:val="0000FF"/>
          <w:sz w:val="32"/>
          <w:szCs w:val="32"/>
          <w:shd w:val="clear" w:color="auto" w:fill="FFFFFF"/>
          <w:lang w:eastAsia="zh-CN"/>
        </w:rPr>
        <w:t>“特殊教育”、“法语”、</w:t>
      </w:r>
      <w:r>
        <w:rPr>
          <w:rFonts w:hint="eastAsia" w:ascii="仿宋" w:hAnsi="仿宋" w:eastAsia="仿宋" w:cs="仿宋_GB2312"/>
          <w:bCs/>
          <w:color w:val="0000FF"/>
          <w:sz w:val="32"/>
          <w:szCs w:val="32"/>
          <w:shd w:val="clear" w:color="auto" w:fill="FFFFFF"/>
        </w:rPr>
        <w:t>“日语”、“俄语”</w:t>
      </w:r>
      <w:r>
        <w:rPr>
          <w:rFonts w:hint="eastAsia" w:ascii="仿宋" w:hAnsi="仿宋" w:eastAsia="仿宋" w:cs="仿宋_GB2312"/>
          <w:bCs/>
          <w:color w:val="0000FF"/>
          <w:sz w:val="32"/>
          <w:szCs w:val="32"/>
          <w:shd w:val="clear" w:color="auto" w:fill="FFFFFF"/>
          <w:lang w:eastAsia="zh-CN"/>
        </w:rPr>
        <w:t>五</w:t>
      </w:r>
      <w:r>
        <w:rPr>
          <w:rFonts w:hint="eastAsia" w:ascii="仿宋" w:hAnsi="仿宋" w:eastAsia="仿宋" w:cs="仿宋_GB2312"/>
          <w:bCs/>
          <w:color w:val="0000FF"/>
          <w:sz w:val="32"/>
          <w:szCs w:val="32"/>
          <w:shd w:val="clear" w:color="auto" w:fill="FFFFFF"/>
        </w:rPr>
        <w:t>个学科的考生</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笔试报考选择公共科目</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rPr>
        <w:t>综合素质(中学)</w:t>
      </w:r>
      <w:r>
        <w:rPr>
          <w:rFonts w:hint="eastAsia" w:ascii="仿宋" w:hAnsi="仿宋" w:eastAsia="仿宋" w:cs="仿宋_GB2312"/>
          <w:bCs/>
          <w:color w:val="0000FF"/>
          <w:sz w:val="32"/>
          <w:szCs w:val="32"/>
          <w:shd w:val="clear" w:color="auto" w:fill="FFFFFF"/>
          <w:lang w:eastAsia="zh-CN"/>
        </w:rPr>
        <w:t>”</w:t>
      </w:r>
      <w:r>
        <w:rPr>
          <w:rFonts w:hint="eastAsia" w:ascii="仿宋" w:hAnsi="仿宋" w:eastAsia="仿宋" w:cs="仿宋_GB2312"/>
          <w:bCs/>
          <w:color w:val="0000FF"/>
          <w:sz w:val="32"/>
          <w:szCs w:val="32"/>
          <w:shd w:val="clear" w:color="auto" w:fill="FFFFFF"/>
          <w:lang w:val="en-US" w:eastAsia="zh-CN"/>
        </w:rPr>
        <w:t>和“教育知识与能力”</w:t>
      </w:r>
      <w:r>
        <w:rPr>
          <w:rFonts w:hint="eastAsia" w:ascii="仿宋" w:hAnsi="仿宋" w:eastAsia="仿宋" w:cs="仿宋_GB2312"/>
          <w:bCs/>
          <w:color w:val="0000FF"/>
          <w:sz w:val="32"/>
          <w:szCs w:val="32"/>
          <w:shd w:val="clear" w:color="auto" w:fill="FFFFFF"/>
        </w:rPr>
        <w:t>，“学科知识与教学能力”结合面试一并考核。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43D26"/>
    <w:rsid w:val="2934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2021-01-05T02:10:00Z</dcterms:created>
  <dc:creator>Pluto＇</dc:creator>
  <cp:lastModifiedBy>Pluto＇</cp:lastModifiedBy>
  <dcterms:modified xsi:type="dcterms:W3CDTF">2021-01-05T02:14:51Z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